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9ED37B0" w14:textId="0756AA0B" w:rsidR="00950112"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bookmarkStart w:id="0" w:name="_Hlk98930381"/>
      <w:r w:rsidR="00D1025C" w:rsidRPr="00D1025C">
        <w:rPr>
          <w:rFonts w:ascii="Times New Roman" w:hAnsi="Times New Roman"/>
          <w:spacing w:val="-2"/>
          <w:sz w:val="24"/>
          <w:szCs w:val="24"/>
        </w:rPr>
        <w:t xml:space="preserve">Technical assessment </w:t>
      </w:r>
      <w:r w:rsidR="0059531D" w:rsidRPr="0059531D">
        <w:rPr>
          <w:rFonts w:ascii="Times New Roman" w:hAnsi="Times New Roman"/>
          <w:spacing w:val="-2"/>
          <w:sz w:val="24"/>
          <w:szCs w:val="24"/>
        </w:rPr>
        <w:t>for support in monitoring of preparation of project and tender documentation for NEW FISHING PORT AT RT DJERAN - VELIKA PLAŽA (ULCINJ)</w:t>
      </w:r>
    </w:p>
    <w:bookmarkEnd w:id="0"/>
    <w:p w14:paraId="3B0BBDA7" w14:textId="5321C0FB"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D1025C">
        <w:rPr>
          <w:rFonts w:ascii="Times New Roman" w:hAnsi="Times New Roman"/>
          <w:spacing w:val="-2"/>
          <w:sz w:val="24"/>
          <w:szCs w:val="24"/>
        </w:rPr>
        <w:t>23</w:t>
      </w:r>
      <w:r w:rsidR="00E6395A" w:rsidRPr="00134CCE">
        <w:rPr>
          <w:rFonts w:ascii="Times New Roman" w:hAnsi="Times New Roman"/>
          <w:spacing w:val="-2"/>
          <w:sz w:val="24"/>
          <w:szCs w:val="24"/>
        </w:rPr>
        <w:t>-</w:t>
      </w:r>
      <w:r w:rsidR="005A7F05">
        <w:rPr>
          <w:rFonts w:ascii="Times New Roman" w:hAnsi="Times New Roman"/>
          <w:spacing w:val="-2"/>
          <w:sz w:val="24"/>
          <w:szCs w:val="24"/>
        </w:rPr>
        <w:t>3.</w:t>
      </w:r>
      <w:r w:rsidR="0059531D">
        <w:rPr>
          <w:rFonts w:ascii="Times New Roman" w:hAnsi="Times New Roman"/>
          <w:spacing w:val="-2"/>
          <w:sz w:val="24"/>
          <w:szCs w:val="24"/>
        </w:rPr>
        <w:t>2</w:t>
      </w:r>
      <w:r w:rsidR="005A7F05">
        <w:rPr>
          <w:rFonts w:ascii="Times New Roman" w:hAnsi="Times New Roman"/>
          <w:spacing w:val="-2"/>
          <w:sz w:val="24"/>
          <w:szCs w:val="24"/>
        </w:rPr>
        <w:t>.</w:t>
      </w:r>
      <w:r w:rsidR="0059531D">
        <w:rPr>
          <w:rFonts w:ascii="Times New Roman" w:hAnsi="Times New Roman"/>
          <w:spacing w:val="-2"/>
          <w:sz w:val="24"/>
          <w:szCs w:val="24"/>
        </w:rPr>
        <w:t>13</w:t>
      </w:r>
    </w:p>
    <w:p w14:paraId="4C77877C" w14:textId="77777777" w:rsidR="009830E4" w:rsidRPr="00134CCE" w:rsidRDefault="009830E4">
      <w:pPr>
        <w:suppressAutoHyphens/>
        <w:rPr>
          <w:rFonts w:ascii="Times New Roman" w:hAnsi="Times New Roman"/>
          <w:spacing w:val="-2"/>
          <w:sz w:val="24"/>
          <w:szCs w:val="24"/>
        </w:rPr>
      </w:pPr>
    </w:p>
    <w:p w14:paraId="20957564" w14:textId="628D4693"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59531D" w:rsidRPr="0059531D">
        <w:rPr>
          <w:rFonts w:ascii="Times New Roman" w:hAnsi="Times New Roman"/>
          <w:spacing w:val="-2"/>
          <w:sz w:val="24"/>
          <w:szCs w:val="24"/>
        </w:rPr>
        <w:t>Technical assessment for support in monitoring of preparation of project and tender documentation for NEW FISHING PORT AT RT DJERAN - VELIKA PLAŽA (ULCINJ)</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r w:rsidR="00950112">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36CF9FCE" w14:textId="0EE5FBE6" w:rsidR="00950112" w:rsidRDefault="00217B47" w:rsidP="00D1025C">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00D1025C" w:rsidRPr="00D1025C">
        <w:rPr>
          <w:rFonts w:ascii="Times New Roman" w:hAnsi="Times New Roman"/>
          <w:spacing w:val="-2"/>
          <w:sz w:val="24"/>
          <w:szCs w:val="24"/>
        </w:rPr>
        <w:t xml:space="preserve">is to </w:t>
      </w:r>
      <w:r w:rsidR="0059531D" w:rsidRPr="0059531D">
        <w:rPr>
          <w:rFonts w:ascii="Times New Roman" w:hAnsi="Times New Roman"/>
          <w:spacing w:val="-2"/>
          <w:sz w:val="24"/>
          <w:szCs w:val="24"/>
        </w:rPr>
        <w:t>provide short term technical assistance in monitoring of implementation of the Detailed Engineering Design (DED) for the new fishing port at Rt Djeran – Velika Plaza (Ulcinj municipality). The works under this assignment shall be performed in close cooperation with the MAFWM DfF and the DED consulting firm (hereinafter known as the Contractor).  The Consultant shall provide support and clarifications as requested by DfF throughout the assignment</w:t>
      </w:r>
      <w:r w:rsidR="00D1025C" w:rsidRPr="00D1025C">
        <w:rPr>
          <w:rFonts w:ascii="Times New Roman" w:hAnsi="Times New Roman"/>
          <w:spacing w:val="-2"/>
          <w:sz w:val="24"/>
          <w:szCs w:val="24"/>
        </w:rPr>
        <w:t>.</w:t>
      </w:r>
    </w:p>
    <w:p w14:paraId="6ADA8654" w14:textId="77777777" w:rsidR="00D1025C" w:rsidRDefault="00D1025C" w:rsidP="00D1025C">
      <w:pPr>
        <w:suppressAutoHyphens/>
        <w:jc w:val="both"/>
        <w:rPr>
          <w:rFonts w:ascii="Times New Roman" w:hAnsi="Times New Roman"/>
          <w:spacing w:val="-2"/>
          <w:sz w:val="24"/>
          <w:szCs w:val="24"/>
        </w:rPr>
      </w:pPr>
    </w:p>
    <w:p w14:paraId="5A36CC09" w14:textId="62E4B22B" w:rsidR="00D1025C" w:rsidRDefault="0059531D" w:rsidP="00916E24">
      <w:pPr>
        <w:suppressAutoHyphens/>
        <w:jc w:val="both"/>
        <w:rPr>
          <w:rFonts w:ascii="Times New Roman" w:hAnsi="Times New Roman"/>
          <w:spacing w:val="-2"/>
          <w:sz w:val="24"/>
        </w:rPr>
      </w:pPr>
      <w:r w:rsidRPr="0059531D">
        <w:rPr>
          <w:rFonts w:ascii="Times New Roman" w:hAnsi="Times New Roman"/>
          <w:spacing w:val="-2"/>
          <w:sz w:val="24"/>
        </w:rPr>
        <w:t>The Consultant shall be engaged to follow the process of FINAL DESIGN development on a part time basis (approx. half working hours, whatever is required by the beneficiary through PIU). The consultancy is expected to start in June 2025 and continue up to publishing of the tender for civil works, latest till June 30, 2026.</w:t>
      </w:r>
    </w:p>
    <w:p w14:paraId="1D7830C9" w14:textId="77777777" w:rsidR="0059531D" w:rsidRDefault="0059531D" w:rsidP="00916E24">
      <w:pPr>
        <w:suppressAutoHyphens/>
        <w:jc w:val="both"/>
        <w:rPr>
          <w:rFonts w:ascii="Times New Roman" w:hAnsi="Times New Roman"/>
          <w:spacing w:val="-2"/>
          <w:sz w:val="24"/>
          <w:szCs w:val="24"/>
        </w:rPr>
      </w:pPr>
    </w:p>
    <w:p w14:paraId="2469DD4E" w14:textId="4B2EB732" w:rsidR="001C3893"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1C3ECCA7" w14:textId="77777777" w:rsidR="00D1025C" w:rsidRPr="00D12616" w:rsidRDefault="00D1025C" w:rsidP="00916E24">
      <w:pPr>
        <w:suppressAutoHyphens/>
        <w:jc w:val="both"/>
        <w:rPr>
          <w:rFonts w:ascii="Times New Roman" w:hAnsi="Times New Roman"/>
          <w:spacing w:val="-2"/>
          <w:sz w:val="24"/>
          <w:szCs w:val="24"/>
        </w:rPr>
      </w:pP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lastRenderedPageBreak/>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Pr="0059531D" w:rsidRDefault="00EC50B8" w:rsidP="00916E24">
      <w:pPr>
        <w:suppressAutoHyphens/>
        <w:jc w:val="both"/>
        <w:rPr>
          <w:rFonts w:ascii="Times New Roman" w:hAnsi="Times New Roman"/>
          <w:spacing w:val="-2"/>
          <w:sz w:val="24"/>
          <w:szCs w:val="24"/>
        </w:rPr>
      </w:pPr>
      <w:r w:rsidRPr="0059531D">
        <w:rPr>
          <w:rFonts w:ascii="Times New Roman" w:hAnsi="Times New Roman"/>
          <w:spacing w:val="-2"/>
          <w:sz w:val="24"/>
          <w:szCs w:val="24"/>
        </w:rPr>
        <w:t>The criteria</w:t>
      </w:r>
      <w:r w:rsidR="00E87626" w:rsidRPr="0059531D">
        <w:rPr>
          <w:rFonts w:ascii="Times New Roman" w:hAnsi="Times New Roman"/>
          <w:spacing w:val="-2"/>
          <w:sz w:val="24"/>
          <w:szCs w:val="24"/>
        </w:rPr>
        <w:t xml:space="preserve"> for selection</w:t>
      </w:r>
      <w:r w:rsidRPr="0059531D">
        <w:rPr>
          <w:rFonts w:ascii="Times New Roman" w:hAnsi="Times New Roman"/>
          <w:spacing w:val="-2"/>
          <w:sz w:val="24"/>
          <w:szCs w:val="24"/>
        </w:rPr>
        <w:t xml:space="preserve"> are</w:t>
      </w:r>
      <w:r w:rsidR="00E87626" w:rsidRPr="0059531D">
        <w:rPr>
          <w:rFonts w:ascii="Times New Roman" w:hAnsi="Times New Roman"/>
          <w:spacing w:val="-2"/>
          <w:sz w:val="24"/>
          <w:szCs w:val="24"/>
        </w:rPr>
        <w:t xml:space="preserve"> following</w:t>
      </w:r>
      <w:r w:rsidR="00C523ED" w:rsidRPr="0059531D">
        <w:rPr>
          <w:rFonts w:ascii="Times New Roman" w:hAnsi="Times New Roman"/>
          <w:spacing w:val="-2"/>
          <w:sz w:val="24"/>
          <w:szCs w:val="24"/>
        </w:rPr>
        <w:t>:</w:t>
      </w:r>
    </w:p>
    <w:p w14:paraId="3AA5543E" w14:textId="77777777" w:rsidR="0059531D" w:rsidRPr="0059531D" w:rsidRDefault="0059531D" w:rsidP="00595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eastAsia="MS Mincho" w:hAnsi="Times New Roman"/>
          <w:bCs/>
          <w:i/>
          <w:iCs/>
          <w:sz w:val="24"/>
          <w:szCs w:val="24"/>
        </w:rPr>
      </w:pPr>
      <w:r w:rsidRPr="0059531D">
        <w:rPr>
          <w:rFonts w:ascii="Times New Roman" w:eastAsia="MS Mincho" w:hAnsi="Times New Roman"/>
          <w:bCs/>
          <w:i/>
          <w:iCs/>
          <w:sz w:val="24"/>
          <w:szCs w:val="24"/>
        </w:rPr>
        <w:t>Essential (mandatory) qualifications</w:t>
      </w:r>
    </w:p>
    <w:p w14:paraId="739D9A7F" w14:textId="77777777" w:rsidR="0059531D" w:rsidRPr="0059531D" w:rsidRDefault="0059531D" w:rsidP="0059531D">
      <w:pPr>
        <w:pStyle w:val="BodyText"/>
        <w:numPr>
          <w:ilvl w:val="0"/>
          <w:numId w:val="8"/>
        </w:numPr>
        <w:ind w:left="425" w:hanging="425"/>
        <w:jc w:val="both"/>
        <w:rPr>
          <w:rFonts w:ascii="Times New Roman" w:hAnsi="Times New Roman"/>
          <w:szCs w:val="24"/>
        </w:rPr>
      </w:pPr>
      <w:r w:rsidRPr="0059531D">
        <w:rPr>
          <w:rFonts w:ascii="Times New Roman" w:hAnsi="Times New Roman"/>
          <w:szCs w:val="24"/>
        </w:rPr>
        <w:t>At least a University Diploma – Civil Engineering, with specialization port engineer/coastal engineer or equivalent or shipbuilding engineer or equivalent; A first-level university degree (e.g. Bachelor) in combination with 15 additional years of progressively relevant experience may be accepted in lieu of an advanced university degree.</w:t>
      </w:r>
    </w:p>
    <w:p w14:paraId="3F6AE132" w14:textId="5C5FE314" w:rsidR="0059531D" w:rsidRDefault="0059531D" w:rsidP="0059531D">
      <w:pPr>
        <w:pStyle w:val="BodyText"/>
        <w:numPr>
          <w:ilvl w:val="0"/>
          <w:numId w:val="8"/>
        </w:numPr>
        <w:ind w:left="425" w:hanging="425"/>
        <w:jc w:val="both"/>
        <w:rPr>
          <w:rFonts w:ascii="Times New Roman" w:hAnsi="Times New Roman"/>
          <w:szCs w:val="24"/>
        </w:rPr>
      </w:pPr>
      <w:r w:rsidRPr="0059531D">
        <w:rPr>
          <w:rFonts w:ascii="Times New Roman" w:hAnsi="Times New Roman"/>
          <w:szCs w:val="24"/>
        </w:rPr>
        <w:t>A minimum of ten (10) years of relevant experience.</w:t>
      </w:r>
    </w:p>
    <w:p w14:paraId="71A5FD4D" w14:textId="77777777" w:rsidR="0059531D" w:rsidRPr="0059531D" w:rsidRDefault="0059531D" w:rsidP="0059531D">
      <w:pPr>
        <w:pStyle w:val="BodyText"/>
        <w:ind w:left="425"/>
        <w:jc w:val="both"/>
        <w:rPr>
          <w:rFonts w:ascii="Times New Roman" w:hAnsi="Times New Roman"/>
          <w:szCs w:val="24"/>
        </w:rPr>
      </w:pPr>
    </w:p>
    <w:p w14:paraId="08F302A4" w14:textId="79F40D69" w:rsidR="0059531D" w:rsidRPr="0059531D" w:rsidRDefault="0059531D" w:rsidP="005953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eastAsia="MS Mincho" w:hAnsi="Times New Roman"/>
          <w:bCs/>
          <w:i/>
          <w:iCs/>
          <w:sz w:val="24"/>
          <w:szCs w:val="24"/>
        </w:rPr>
      </w:pPr>
      <w:r w:rsidRPr="0059531D">
        <w:rPr>
          <w:rFonts w:ascii="Times New Roman" w:eastAsia="MS Mincho" w:hAnsi="Times New Roman"/>
          <w:bCs/>
          <w:i/>
          <w:iCs/>
          <w:sz w:val="24"/>
          <w:szCs w:val="24"/>
        </w:rPr>
        <w:t>Evaluation criteria</w:t>
      </w:r>
    </w:p>
    <w:tbl>
      <w:tblPr>
        <w:tblStyle w:val="TableGrid"/>
        <w:tblW w:w="0" w:type="auto"/>
        <w:tblInd w:w="-5" w:type="dxa"/>
        <w:tblLook w:val="04A0" w:firstRow="1" w:lastRow="0" w:firstColumn="1" w:lastColumn="0" w:noHBand="0" w:noVBand="1"/>
      </w:tblPr>
      <w:tblGrid>
        <w:gridCol w:w="6667"/>
        <w:gridCol w:w="1183"/>
      </w:tblGrid>
      <w:tr w:rsidR="0059531D" w:rsidRPr="0059531D" w14:paraId="17143F89" w14:textId="77777777" w:rsidTr="0059531D">
        <w:trPr>
          <w:trHeight w:val="557"/>
        </w:trPr>
        <w:tc>
          <w:tcPr>
            <w:tcW w:w="6667" w:type="dxa"/>
          </w:tcPr>
          <w:p w14:paraId="6DB8FCC8" w14:textId="77777777" w:rsidR="0059531D" w:rsidRPr="0059531D" w:rsidRDefault="0059531D" w:rsidP="003156A8">
            <w:pPr>
              <w:rPr>
                <w:rFonts w:ascii="Times New Roman" w:hAnsi="Times New Roman"/>
                <w:sz w:val="24"/>
              </w:rPr>
            </w:pPr>
            <w:r w:rsidRPr="0059531D">
              <w:rPr>
                <w:rFonts w:ascii="Times New Roman" w:hAnsi="Times New Roman"/>
                <w:sz w:val="24"/>
              </w:rPr>
              <w:t xml:space="preserve">Qualifications and requirements </w:t>
            </w:r>
          </w:p>
        </w:tc>
        <w:tc>
          <w:tcPr>
            <w:tcW w:w="1183" w:type="dxa"/>
          </w:tcPr>
          <w:p w14:paraId="6CC6861F" w14:textId="77777777" w:rsidR="0059531D" w:rsidRPr="0059531D" w:rsidRDefault="0059531D" w:rsidP="003156A8">
            <w:pPr>
              <w:jc w:val="center"/>
              <w:rPr>
                <w:rFonts w:ascii="Times New Roman" w:hAnsi="Times New Roman"/>
                <w:b/>
                <w:bCs/>
                <w:sz w:val="24"/>
              </w:rPr>
            </w:pPr>
            <w:r w:rsidRPr="0059531D">
              <w:rPr>
                <w:rFonts w:ascii="Times New Roman" w:hAnsi="Times New Roman"/>
                <w:b/>
                <w:bCs/>
                <w:sz w:val="24"/>
              </w:rPr>
              <w:t>Points (max)</w:t>
            </w:r>
          </w:p>
        </w:tc>
      </w:tr>
      <w:tr w:rsidR="0059531D" w:rsidRPr="0059531D" w14:paraId="0AD7E8E2" w14:textId="77777777" w:rsidTr="0059531D">
        <w:tc>
          <w:tcPr>
            <w:tcW w:w="6667" w:type="dxa"/>
            <w:vAlign w:val="center"/>
          </w:tcPr>
          <w:p w14:paraId="7ED63060" w14:textId="77777777" w:rsidR="0059531D" w:rsidRPr="0059531D" w:rsidRDefault="0059531D" w:rsidP="003156A8">
            <w:pPr>
              <w:rPr>
                <w:rFonts w:ascii="Times New Roman" w:hAnsi="Times New Roman"/>
                <w:sz w:val="24"/>
              </w:rPr>
            </w:pPr>
            <w:r w:rsidRPr="0059531D">
              <w:rPr>
                <w:rFonts w:ascii="Times New Roman" w:hAnsi="Times New Roman"/>
                <w:sz w:val="24"/>
              </w:rPr>
              <w:t>Years of experience in the field of similar assignments</w:t>
            </w:r>
          </w:p>
        </w:tc>
        <w:tc>
          <w:tcPr>
            <w:tcW w:w="1183" w:type="dxa"/>
            <w:vAlign w:val="center"/>
          </w:tcPr>
          <w:p w14:paraId="7A0AC942" w14:textId="77777777" w:rsidR="0059531D" w:rsidRPr="0059531D" w:rsidRDefault="0059531D" w:rsidP="003156A8">
            <w:pPr>
              <w:jc w:val="center"/>
              <w:rPr>
                <w:rFonts w:ascii="Times New Roman" w:hAnsi="Times New Roman"/>
                <w:sz w:val="24"/>
              </w:rPr>
            </w:pPr>
            <w:r w:rsidRPr="0059531D">
              <w:rPr>
                <w:rFonts w:ascii="Times New Roman" w:hAnsi="Times New Roman"/>
                <w:sz w:val="24"/>
              </w:rPr>
              <w:t>40</w:t>
            </w:r>
          </w:p>
        </w:tc>
      </w:tr>
      <w:tr w:rsidR="0059531D" w:rsidRPr="0059531D" w14:paraId="748FE293" w14:textId="77777777" w:rsidTr="0059531D">
        <w:tc>
          <w:tcPr>
            <w:tcW w:w="6667" w:type="dxa"/>
            <w:vAlign w:val="center"/>
          </w:tcPr>
          <w:p w14:paraId="180DDBFA" w14:textId="77777777" w:rsidR="0059531D" w:rsidRPr="0059531D" w:rsidRDefault="0059531D" w:rsidP="003156A8">
            <w:pPr>
              <w:rPr>
                <w:rFonts w:ascii="Times New Roman" w:hAnsi="Times New Roman"/>
                <w:sz w:val="24"/>
              </w:rPr>
            </w:pPr>
            <w:r w:rsidRPr="0059531D">
              <w:rPr>
                <w:rFonts w:ascii="Times New Roman" w:hAnsi="Times New Roman"/>
                <w:sz w:val="24"/>
              </w:rPr>
              <w:t xml:space="preserve">Knowledge of local /regional legislation/regulation on design and construction of ports and coastal works. </w:t>
            </w:r>
          </w:p>
        </w:tc>
        <w:tc>
          <w:tcPr>
            <w:tcW w:w="1183" w:type="dxa"/>
            <w:vAlign w:val="center"/>
          </w:tcPr>
          <w:p w14:paraId="66BCD04C" w14:textId="77777777" w:rsidR="0059531D" w:rsidRPr="0059531D" w:rsidRDefault="0059531D" w:rsidP="003156A8">
            <w:pPr>
              <w:jc w:val="center"/>
              <w:rPr>
                <w:rFonts w:ascii="Times New Roman" w:hAnsi="Times New Roman"/>
                <w:sz w:val="24"/>
              </w:rPr>
            </w:pPr>
            <w:r w:rsidRPr="0059531D">
              <w:rPr>
                <w:rFonts w:ascii="Times New Roman" w:hAnsi="Times New Roman"/>
                <w:sz w:val="24"/>
              </w:rPr>
              <w:t>20</w:t>
            </w:r>
          </w:p>
        </w:tc>
      </w:tr>
      <w:tr w:rsidR="0059531D" w:rsidRPr="0059531D" w14:paraId="51577007" w14:textId="77777777" w:rsidTr="0059531D">
        <w:tc>
          <w:tcPr>
            <w:tcW w:w="6667" w:type="dxa"/>
            <w:vAlign w:val="center"/>
          </w:tcPr>
          <w:p w14:paraId="4EF421FB" w14:textId="77777777" w:rsidR="0059531D" w:rsidRPr="0059531D" w:rsidRDefault="0059531D" w:rsidP="003156A8">
            <w:pPr>
              <w:rPr>
                <w:rFonts w:ascii="Times New Roman" w:hAnsi="Times New Roman"/>
                <w:sz w:val="24"/>
              </w:rPr>
            </w:pPr>
            <w:r w:rsidRPr="0059531D">
              <w:rPr>
                <w:rFonts w:ascii="Times New Roman" w:hAnsi="Times New Roman"/>
                <w:sz w:val="24"/>
              </w:rPr>
              <w:t>Knowledge of local /regional port management and legislation/regulation</w:t>
            </w:r>
          </w:p>
        </w:tc>
        <w:tc>
          <w:tcPr>
            <w:tcW w:w="1183" w:type="dxa"/>
            <w:vAlign w:val="center"/>
          </w:tcPr>
          <w:p w14:paraId="06C86856" w14:textId="77777777" w:rsidR="0059531D" w:rsidRPr="0059531D" w:rsidRDefault="0059531D" w:rsidP="003156A8">
            <w:pPr>
              <w:jc w:val="center"/>
              <w:rPr>
                <w:rFonts w:ascii="Times New Roman" w:hAnsi="Times New Roman"/>
                <w:sz w:val="24"/>
              </w:rPr>
            </w:pPr>
            <w:r w:rsidRPr="0059531D">
              <w:rPr>
                <w:rFonts w:ascii="Times New Roman" w:hAnsi="Times New Roman"/>
                <w:sz w:val="24"/>
              </w:rPr>
              <w:t>10</w:t>
            </w:r>
          </w:p>
        </w:tc>
      </w:tr>
      <w:tr w:rsidR="0059531D" w:rsidRPr="0059531D" w14:paraId="5A663408" w14:textId="77777777" w:rsidTr="0059531D">
        <w:tc>
          <w:tcPr>
            <w:tcW w:w="6667" w:type="dxa"/>
            <w:vAlign w:val="center"/>
          </w:tcPr>
          <w:p w14:paraId="22718CA5" w14:textId="77777777" w:rsidR="0059531D" w:rsidRPr="0059531D" w:rsidRDefault="0059531D" w:rsidP="003156A8">
            <w:pPr>
              <w:rPr>
                <w:rFonts w:ascii="Times New Roman" w:hAnsi="Times New Roman"/>
                <w:sz w:val="24"/>
              </w:rPr>
            </w:pPr>
            <w:r w:rsidRPr="0059531D">
              <w:rPr>
                <w:rFonts w:ascii="Times New Roman" w:hAnsi="Times New Roman"/>
                <w:sz w:val="24"/>
              </w:rPr>
              <w:t>Number of similar assignments conducted during the last ten (10) years</w:t>
            </w:r>
          </w:p>
        </w:tc>
        <w:tc>
          <w:tcPr>
            <w:tcW w:w="1183" w:type="dxa"/>
            <w:vAlign w:val="center"/>
          </w:tcPr>
          <w:p w14:paraId="792D5015" w14:textId="77777777" w:rsidR="0059531D" w:rsidRPr="0059531D" w:rsidRDefault="0059531D" w:rsidP="003156A8">
            <w:pPr>
              <w:jc w:val="center"/>
              <w:rPr>
                <w:rFonts w:ascii="Times New Roman" w:hAnsi="Times New Roman"/>
                <w:sz w:val="24"/>
              </w:rPr>
            </w:pPr>
            <w:r w:rsidRPr="0059531D">
              <w:rPr>
                <w:rFonts w:ascii="Times New Roman" w:hAnsi="Times New Roman"/>
                <w:sz w:val="24"/>
              </w:rPr>
              <w:t>30</w:t>
            </w:r>
          </w:p>
        </w:tc>
      </w:tr>
    </w:tbl>
    <w:p w14:paraId="3283E46F" w14:textId="77777777" w:rsidR="00875353" w:rsidRPr="0059531D" w:rsidRDefault="00875353" w:rsidP="00875353">
      <w:pPr>
        <w:suppressAutoHyphens/>
        <w:jc w:val="both"/>
        <w:rPr>
          <w:rFonts w:ascii="Times New Roman" w:hAnsi="Times New Roman"/>
          <w:spacing w:val="-2"/>
          <w:sz w:val="24"/>
          <w:szCs w:val="24"/>
        </w:rPr>
      </w:pPr>
    </w:p>
    <w:p w14:paraId="5ED56CBF" w14:textId="77777777" w:rsidR="00E07E32" w:rsidRPr="0059531D" w:rsidRDefault="001D70EB" w:rsidP="00916E24">
      <w:pPr>
        <w:suppressAutoHyphens/>
        <w:jc w:val="both"/>
        <w:rPr>
          <w:rFonts w:ascii="Times New Roman" w:hAnsi="Times New Roman"/>
          <w:spacing w:val="-2"/>
          <w:sz w:val="24"/>
          <w:szCs w:val="24"/>
        </w:rPr>
      </w:pPr>
      <w:r w:rsidRPr="0059531D">
        <w:rPr>
          <w:rFonts w:ascii="Times New Roman" w:hAnsi="Times New Roman"/>
          <w:spacing w:val="-2"/>
          <w:sz w:val="24"/>
          <w:szCs w:val="24"/>
        </w:rPr>
        <w:t>The attention of interested C</w:t>
      </w:r>
      <w:r w:rsidR="004E721D" w:rsidRPr="0059531D">
        <w:rPr>
          <w:rFonts w:ascii="Times New Roman" w:hAnsi="Times New Roman"/>
          <w:spacing w:val="-2"/>
          <w:sz w:val="24"/>
          <w:szCs w:val="24"/>
        </w:rPr>
        <w:t xml:space="preserve">onsultants is drawn to </w:t>
      </w:r>
      <w:r w:rsidR="004019F6" w:rsidRPr="0059531D">
        <w:rPr>
          <w:rFonts w:ascii="Times New Roman" w:hAnsi="Times New Roman"/>
          <w:spacing w:val="-2"/>
          <w:sz w:val="24"/>
          <w:szCs w:val="24"/>
        </w:rPr>
        <w:t xml:space="preserve">Section III, </w:t>
      </w:r>
      <w:r w:rsidR="003B0ADD" w:rsidRPr="0059531D">
        <w:rPr>
          <w:rFonts w:ascii="Times New Roman" w:hAnsi="Times New Roman"/>
          <w:spacing w:val="-2"/>
          <w:sz w:val="24"/>
          <w:szCs w:val="24"/>
        </w:rPr>
        <w:t>paragraphs,</w:t>
      </w:r>
      <w:r w:rsidR="005A0276" w:rsidRPr="0059531D">
        <w:rPr>
          <w:rFonts w:ascii="Times New Roman" w:hAnsi="Times New Roman"/>
          <w:spacing w:val="-2"/>
          <w:sz w:val="24"/>
          <w:szCs w:val="24"/>
        </w:rPr>
        <w:t xml:space="preserve"> </w:t>
      </w:r>
      <w:r w:rsidR="00DF4F57" w:rsidRPr="0059531D">
        <w:rPr>
          <w:rFonts w:ascii="Times New Roman" w:hAnsi="Times New Roman"/>
          <w:spacing w:val="-2"/>
          <w:sz w:val="24"/>
          <w:szCs w:val="24"/>
        </w:rPr>
        <w:t xml:space="preserve">3.14, </w:t>
      </w:r>
      <w:r w:rsidR="005A0276" w:rsidRPr="0059531D">
        <w:rPr>
          <w:rFonts w:ascii="Times New Roman" w:hAnsi="Times New Roman"/>
          <w:spacing w:val="-2"/>
          <w:sz w:val="24"/>
          <w:szCs w:val="24"/>
        </w:rPr>
        <w:t>3.16, and 3.17</w:t>
      </w:r>
      <w:r w:rsidR="004E721D" w:rsidRPr="0059531D">
        <w:rPr>
          <w:rFonts w:ascii="Times New Roman" w:hAnsi="Times New Roman"/>
          <w:spacing w:val="-2"/>
          <w:sz w:val="24"/>
          <w:szCs w:val="24"/>
        </w:rPr>
        <w:t xml:space="preserve"> of the World Bank’s </w:t>
      </w:r>
      <w:r w:rsidR="005A0276" w:rsidRPr="0059531D">
        <w:rPr>
          <w:rFonts w:ascii="Times New Roman" w:hAnsi="Times New Roman"/>
          <w:spacing w:val="-2"/>
          <w:sz w:val="24"/>
          <w:szCs w:val="24"/>
        </w:rPr>
        <w:t>“Procurement Regulations for IPF Borrowers” July 2016</w:t>
      </w:r>
      <w:r w:rsidR="00C523ED" w:rsidRPr="0059531D">
        <w:rPr>
          <w:rFonts w:ascii="Times New Roman" w:hAnsi="Times New Roman"/>
          <w:spacing w:val="-2"/>
          <w:sz w:val="24"/>
          <w:szCs w:val="24"/>
        </w:rPr>
        <w:t>, Revised November 2017</w:t>
      </w:r>
      <w:r w:rsidR="00137802" w:rsidRPr="0059531D">
        <w:rPr>
          <w:rFonts w:ascii="Times New Roman" w:hAnsi="Times New Roman"/>
          <w:spacing w:val="-2"/>
          <w:sz w:val="24"/>
          <w:szCs w:val="24"/>
        </w:rPr>
        <w:t>,</w:t>
      </w:r>
      <w:r w:rsidR="004E721D" w:rsidRPr="0059531D">
        <w:rPr>
          <w:rFonts w:ascii="Times New Roman" w:hAnsi="Times New Roman"/>
          <w:spacing w:val="-2"/>
          <w:sz w:val="24"/>
          <w:szCs w:val="24"/>
        </w:rPr>
        <w:t xml:space="preserve"> setting forth the World Bank’s policy on conflict of interest.  </w:t>
      </w:r>
    </w:p>
    <w:p w14:paraId="3CB9B261" w14:textId="77777777" w:rsidR="00F17486" w:rsidRPr="0059531D" w:rsidRDefault="00F17486" w:rsidP="00916E24">
      <w:pPr>
        <w:suppressAutoHyphens/>
        <w:jc w:val="both"/>
        <w:rPr>
          <w:rFonts w:ascii="Times New Roman" w:hAnsi="Times New Roman"/>
          <w:spacing w:val="-2"/>
          <w:sz w:val="24"/>
          <w:szCs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7E8A854D"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59531D">
        <w:rPr>
          <w:rFonts w:ascii="Times New Roman" w:hAnsi="Times New Roman"/>
          <w:spacing w:val="-2"/>
          <w:sz w:val="24"/>
        </w:rPr>
        <w:t xml:space="preserve">June </w:t>
      </w:r>
      <w:r w:rsidR="001603E0">
        <w:rPr>
          <w:rFonts w:ascii="Times New Roman" w:hAnsi="Times New Roman"/>
          <w:spacing w:val="-2"/>
          <w:sz w:val="24"/>
        </w:rPr>
        <w:t>18</w:t>
      </w:r>
      <w:r w:rsidR="00E6395A" w:rsidRPr="002C7721">
        <w:rPr>
          <w:rFonts w:ascii="Times New Roman" w:hAnsi="Times New Roman"/>
          <w:spacing w:val="-2"/>
          <w:sz w:val="24"/>
        </w:rPr>
        <w:t>,</w:t>
      </w:r>
      <w:r w:rsidR="0059531D">
        <w:rPr>
          <w:rFonts w:ascii="Times New Roman" w:hAnsi="Times New Roman"/>
          <w:spacing w:val="-2"/>
          <w:sz w:val="24"/>
        </w:rPr>
        <w:t xml:space="preserve"> 2025,</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2DDB0970"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w:t>
      </w:r>
      <w:r w:rsidRPr="00E6395A">
        <w:rPr>
          <w:rFonts w:ascii="Times New Roman" w:hAnsi="Times New Roman"/>
          <w:iCs/>
          <w:spacing w:val="-2"/>
          <w:sz w:val="24"/>
        </w:rPr>
        <w:t>/Technical Service Unit</w:t>
      </w:r>
    </w:p>
    <w:p w14:paraId="391E9196" w14:textId="2BEAFE0D"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9A45EE">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7A7BB894" w14:textId="77777777" w:rsidR="0059531D" w:rsidRDefault="0059531D">
      <w:pPr>
        <w:suppressAutoHyphens/>
        <w:rPr>
          <w:rFonts w:ascii="Times New Roman" w:hAnsi="Times New Roman"/>
          <w:iCs/>
          <w:spacing w:val="-2"/>
          <w:sz w:val="24"/>
        </w:rPr>
      </w:pPr>
      <w:r w:rsidRPr="0059531D">
        <w:rPr>
          <w:rFonts w:ascii="Times New Roman" w:hAnsi="Times New Roman"/>
          <w:iCs/>
          <w:spacing w:val="-2"/>
          <w:sz w:val="24"/>
        </w:rPr>
        <w:t>Telephone: + 382 68046929</w:t>
      </w:r>
    </w:p>
    <w:p w14:paraId="7C2B8771" w14:textId="50CD9937" w:rsidR="009830E4" w:rsidRDefault="00E6395A">
      <w:pPr>
        <w:suppressAutoHyphens/>
        <w:rPr>
          <w:spacing w:val="-2"/>
        </w:rPr>
      </w:pPr>
      <w:r w:rsidRPr="00E6395A">
        <w:rPr>
          <w:rFonts w:ascii="Times New Roman" w:hAnsi="Times New Roman"/>
          <w:iCs/>
          <w:spacing w:val="-2"/>
          <w:sz w:val="24"/>
        </w:rPr>
        <w:t xml:space="preserve">Email: </w:t>
      </w:r>
      <w:hyperlink r:id="rId9" w:history="1">
        <w:r w:rsidR="00D1025C" w:rsidRPr="00673CFC">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B69E" w14:textId="77777777" w:rsidR="00267FB6" w:rsidRDefault="00267FB6">
      <w:r>
        <w:separator/>
      </w:r>
    </w:p>
  </w:endnote>
  <w:endnote w:type="continuationSeparator" w:id="0">
    <w:p w14:paraId="44CA1037" w14:textId="77777777" w:rsidR="00267FB6" w:rsidRDefault="00267FB6">
      <w:r>
        <w:rPr>
          <w:sz w:val="24"/>
        </w:rPr>
        <w:t xml:space="preserve"> </w:t>
      </w:r>
    </w:p>
  </w:endnote>
  <w:endnote w:type="continuationNotice" w:id="1">
    <w:p w14:paraId="35CCDCE8" w14:textId="77777777" w:rsidR="00267FB6" w:rsidRDefault="00267F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DF12" w14:textId="77777777" w:rsidR="00267FB6" w:rsidRDefault="00267FB6">
      <w:r>
        <w:rPr>
          <w:sz w:val="24"/>
        </w:rPr>
        <w:separator/>
      </w:r>
    </w:p>
  </w:footnote>
  <w:footnote w:type="continuationSeparator" w:id="0">
    <w:p w14:paraId="438CB599" w14:textId="77777777" w:rsidR="00267FB6" w:rsidRDefault="0026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385"/>
    <w:multiLevelType w:val="multilevel"/>
    <w:tmpl w:val="795C1E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D4C48"/>
    <w:multiLevelType w:val="hybridMultilevel"/>
    <w:tmpl w:val="67F48978"/>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1728301">
    <w:abstractNumId w:val="6"/>
  </w:num>
  <w:num w:numId="2" w16cid:durableId="135731168">
    <w:abstractNumId w:val="7"/>
  </w:num>
  <w:num w:numId="3" w16cid:durableId="2038699403">
    <w:abstractNumId w:val="2"/>
  </w:num>
  <w:num w:numId="4" w16cid:durableId="1499732918">
    <w:abstractNumId w:val="1"/>
  </w:num>
  <w:num w:numId="5" w16cid:durableId="92896563">
    <w:abstractNumId w:val="3"/>
  </w:num>
  <w:num w:numId="6" w16cid:durableId="1023169897">
    <w:abstractNumId w:val="5"/>
  </w:num>
  <w:num w:numId="7" w16cid:durableId="570501498">
    <w:abstractNumId w:val="0"/>
  </w:num>
  <w:num w:numId="8" w16cid:durableId="28805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603E0"/>
    <w:rsid w:val="00196614"/>
    <w:rsid w:val="001B0D84"/>
    <w:rsid w:val="001C3893"/>
    <w:rsid w:val="001C4752"/>
    <w:rsid w:val="001D70EB"/>
    <w:rsid w:val="00217B47"/>
    <w:rsid w:val="00236807"/>
    <w:rsid w:val="002461A8"/>
    <w:rsid w:val="00267FB6"/>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1C4A"/>
    <w:rsid w:val="004C3F92"/>
    <w:rsid w:val="004E721D"/>
    <w:rsid w:val="00561114"/>
    <w:rsid w:val="00593053"/>
    <w:rsid w:val="0059531D"/>
    <w:rsid w:val="005A0276"/>
    <w:rsid w:val="005A7A01"/>
    <w:rsid w:val="005A7F05"/>
    <w:rsid w:val="005C48F5"/>
    <w:rsid w:val="006249EE"/>
    <w:rsid w:val="00661C9B"/>
    <w:rsid w:val="00684E8F"/>
    <w:rsid w:val="006D6898"/>
    <w:rsid w:val="006F3706"/>
    <w:rsid w:val="00756B2A"/>
    <w:rsid w:val="00770C55"/>
    <w:rsid w:val="00785CA1"/>
    <w:rsid w:val="00792181"/>
    <w:rsid w:val="007D59F6"/>
    <w:rsid w:val="008154BF"/>
    <w:rsid w:val="008174CB"/>
    <w:rsid w:val="00825B5C"/>
    <w:rsid w:val="00826758"/>
    <w:rsid w:val="0083275E"/>
    <w:rsid w:val="00875353"/>
    <w:rsid w:val="00880265"/>
    <w:rsid w:val="008929AC"/>
    <w:rsid w:val="00895212"/>
    <w:rsid w:val="008A4AA7"/>
    <w:rsid w:val="008D38F1"/>
    <w:rsid w:val="008F2097"/>
    <w:rsid w:val="00916E24"/>
    <w:rsid w:val="0092546E"/>
    <w:rsid w:val="00930D65"/>
    <w:rsid w:val="00945686"/>
    <w:rsid w:val="00950112"/>
    <w:rsid w:val="009511FD"/>
    <w:rsid w:val="009630D3"/>
    <w:rsid w:val="009830E4"/>
    <w:rsid w:val="00993545"/>
    <w:rsid w:val="009A45EE"/>
    <w:rsid w:val="009A68A1"/>
    <w:rsid w:val="009A780C"/>
    <w:rsid w:val="009C3C43"/>
    <w:rsid w:val="009C747E"/>
    <w:rsid w:val="00A05A45"/>
    <w:rsid w:val="00A13CF4"/>
    <w:rsid w:val="00A27613"/>
    <w:rsid w:val="00A56872"/>
    <w:rsid w:val="00A90DFA"/>
    <w:rsid w:val="00AB71C1"/>
    <w:rsid w:val="00B20153"/>
    <w:rsid w:val="00B3630A"/>
    <w:rsid w:val="00B616A8"/>
    <w:rsid w:val="00B96594"/>
    <w:rsid w:val="00BA4299"/>
    <w:rsid w:val="00BC1BB9"/>
    <w:rsid w:val="00BD14B2"/>
    <w:rsid w:val="00BD64C7"/>
    <w:rsid w:val="00BD6CBC"/>
    <w:rsid w:val="00BE11E0"/>
    <w:rsid w:val="00C130C0"/>
    <w:rsid w:val="00C2058C"/>
    <w:rsid w:val="00C24DF1"/>
    <w:rsid w:val="00C30773"/>
    <w:rsid w:val="00C523ED"/>
    <w:rsid w:val="00C55D76"/>
    <w:rsid w:val="00C70D43"/>
    <w:rsid w:val="00C738B7"/>
    <w:rsid w:val="00C8711C"/>
    <w:rsid w:val="00CD158A"/>
    <w:rsid w:val="00CE33EF"/>
    <w:rsid w:val="00D1025C"/>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3155F"/>
    <w:rsid w:val="00F461F4"/>
    <w:rsid w:val="00F54567"/>
    <w:rsid w:val="00F63325"/>
    <w:rsid w:val="00F67564"/>
    <w:rsid w:val="00F77A40"/>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En tête "/>
    <w:basedOn w:val="Normal"/>
    <w:link w:val="ListParagraphChar"/>
    <w:uiPriority w:val="1"/>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C130C0"/>
    <w:rPr>
      <w:rFonts w:ascii="CG Times" w:hAnsi="CG Times"/>
      <w:sz w:val="22"/>
    </w:rPr>
  </w:style>
  <w:style w:type="table" w:customStyle="1" w:styleId="2">
    <w:name w:val="2"/>
    <w:basedOn w:val="TableNormal"/>
    <w:rsid w:val="00D1025C"/>
    <w:pPr>
      <w:spacing w:before="120" w:after="120" w:line="264" w:lineRule="auto"/>
      <w:jc w:val="both"/>
    </w:pPr>
    <w:rPr>
      <w:rFonts w:ascii="Calibri" w:eastAsia="Calibri" w:hAnsi="Calibri" w:cs="Calibri"/>
      <w:sz w:val="24"/>
      <w:szCs w:val="24"/>
      <w:lang w:eastAsia="en-GB"/>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1025C"/>
    <w:rPr>
      <w:color w:val="605E5C"/>
      <w:shd w:val="clear" w:color="auto" w:fill="E1DFDD"/>
    </w:rPr>
  </w:style>
  <w:style w:type="table" w:styleId="TableGrid">
    <w:name w:val="Table Grid"/>
    <w:basedOn w:val="TableNormal"/>
    <w:uiPriority w:val="39"/>
    <w:rsid w:val="0059531D"/>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4196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32</cp:revision>
  <cp:lastPrinted>2017-08-01T14:35:00Z</cp:lastPrinted>
  <dcterms:created xsi:type="dcterms:W3CDTF">2018-10-23T14:49:00Z</dcterms:created>
  <dcterms:modified xsi:type="dcterms:W3CDTF">2025-06-09T08:21:00Z</dcterms:modified>
</cp:coreProperties>
</file>